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attrocento Sans" w:cs="Quattrocento Sans" w:eastAsia="Quattrocento Sans" w:hAnsi="Quattrocento Sans"/>
          <w:sz w:val="18"/>
          <w:szCs w:val="18"/>
        </w:rPr>
      </w:pPr>
      <w:r w:rsidDel="00000000" w:rsidR="00000000" w:rsidRPr="00000000">
        <w:rPr>
          <w:rFonts w:ascii="DIN Engschrift Std" w:cs="DIN Engschrift Std" w:eastAsia="DIN Engschrift Std" w:hAnsi="DIN Engschrift Std"/>
          <w:color w:val="36a1b9"/>
          <w:sz w:val="36"/>
          <w:szCs w:val="36"/>
          <w:rtl w:val="0"/>
        </w:rPr>
        <w:t xml:space="preserve">Draaiboek - Interactieve samenkomst Nieuwegein</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tbl>
      <w:tblPr>
        <w:tblStyle w:val="Table1"/>
        <w:tblW w:w="10473.0" w:type="dxa"/>
        <w:jc w:val="left"/>
        <w:tblLayout w:type="fixed"/>
        <w:tblLook w:val="0400"/>
      </w:tblPr>
      <w:tblGrid>
        <w:gridCol w:w="401"/>
        <w:gridCol w:w="2189"/>
        <w:gridCol w:w="2123"/>
        <w:gridCol w:w="2021"/>
        <w:gridCol w:w="3739"/>
        <w:tblGridChange w:id="0">
          <w:tblGrid>
            <w:gridCol w:w="401"/>
            <w:gridCol w:w="2189"/>
            <w:gridCol w:w="2123"/>
            <w:gridCol w:w="2021"/>
            <w:gridCol w:w="3739"/>
          </w:tblGrid>
        </w:tblGridChange>
      </w:tblGrid>
      <w:tr>
        <w:trPr>
          <w:cantSplit w:val="0"/>
          <w:trHeight w:val="535" w:hRule="atLeast"/>
          <w:tblHeader w:val="0"/>
        </w:trPr>
        <w:tc>
          <w:tcPr>
            <w:tcBorders>
              <w:top w:color="ffffff" w:space="0" w:sz="8" w:val="single"/>
              <w:left w:color="ffffff" w:space="0" w:sz="8" w:val="single"/>
              <w:bottom w:color="ffffff" w:space="0" w:sz="24" w:val="single"/>
              <w:right w:color="ffffff" w:space="0" w:sz="8" w:val="single"/>
            </w:tcBorders>
            <w:shd w:fill="5b9bd5" w:val="clear"/>
            <w:tcMar>
              <w:top w:w="72.0" w:type="dxa"/>
              <w:left w:w="144.0" w:type="dxa"/>
              <w:bottom w:w="72.0" w:type="dxa"/>
              <w:right w:w="144.0" w:type="dxa"/>
            </w:tcMar>
          </w:tcPr>
          <w:p w:rsidR="00000000" w:rsidDel="00000000" w:rsidP="00000000" w:rsidRDefault="00000000" w:rsidRPr="00000000" w14:paraId="00000003">
            <w:pPr>
              <w:rPr/>
            </w:pP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5b9bd5" w:val="clear"/>
            <w:tcMar>
              <w:top w:w="72.0" w:type="dxa"/>
              <w:left w:w="144.0" w:type="dxa"/>
              <w:bottom w:w="72.0" w:type="dxa"/>
              <w:right w:w="144.0" w:type="dxa"/>
            </w:tcMar>
          </w:tcPr>
          <w:p w:rsidR="00000000" w:rsidDel="00000000" w:rsidP="00000000" w:rsidRDefault="00000000" w:rsidRPr="00000000" w14:paraId="00000004">
            <w:pPr>
              <w:rPr/>
            </w:pPr>
            <w:r w:rsidDel="00000000" w:rsidR="00000000" w:rsidRPr="00000000">
              <w:rPr>
                <w:b w:val="1"/>
                <w:rtl w:val="0"/>
              </w:rPr>
              <w:t xml:space="preserve">Activiteit</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5b9bd5" w:val="clear"/>
            <w:tcMar>
              <w:top w:w="72.0" w:type="dxa"/>
              <w:left w:w="144.0" w:type="dxa"/>
              <w:bottom w:w="72.0" w:type="dxa"/>
              <w:right w:w="144.0" w:type="dxa"/>
            </w:tcMar>
          </w:tcPr>
          <w:p w:rsidR="00000000" w:rsidDel="00000000" w:rsidP="00000000" w:rsidRDefault="00000000" w:rsidRPr="00000000" w14:paraId="00000005">
            <w:pPr>
              <w:rPr/>
            </w:pPr>
            <w:r w:rsidDel="00000000" w:rsidR="00000000" w:rsidRPr="00000000">
              <w:rPr>
                <w:b w:val="1"/>
                <w:rtl w:val="0"/>
              </w:rPr>
              <w:t xml:space="preserve">Wie in de lead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5b9bd5" w:val="clear"/>
            <w:tcMar>
              <w:top w:w="72.0" w:type="dxa"/>
              <w:left w:w="144.0" w:type="dxa"/>
              <w:bottom w:w="72.0" w:type="dxa"/>
              <w:right w:w="144.0" w:type="dxa"/>
            </w:tcMar>
          </w:tcPr>
          <w:p w:rsidR="00000000" w:rsidDel="00000000" w:rsidP="00000000" w:rsidRDefault="00000000" w:rsidRPr="00000000" w14:paraId="00000006">
            <w:pPr>
              <w:rPr/>
            </w:pPr>
            <w:r w:rsidDel="00000000" w:rsidR="00000000" w:rsidRPr="00000000">
              <w:rPr>
                <w:b w:val="1"/>
                <w:rtl w:val="0"/>
              </w:rPr>
              <w:t xml:space="preserve">Wanneer</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5b9bd5" w:val="clear"/>
            <w:tcMar>
              <w:top w:w="72.0" w:type="dxa"/>
              <w:left w:w="144.0" w:type="dxa"/>
              <w:bottom w:w="72.0" w:type="dxa"/>
              <w:right w:w="144.0" w:type="dxa"/>
            </w:tcMar>
          </w:tcPr>
          <w:p w:rsidR="00000000" w:rsidDel="00000000" w:rsidP="00000000" w:rsidRDefault="00000000" w:rsidRPr="00000000" w14:paraId="00000007">
            <w:pPr>
              <w:rPr/>
            </w:pPr>
            <w:r w:rsidDel="00000000" w:rsidR="00000000" w:rsidRPr="00000000">
              <w:rPr>
                <w:b w:val="1"/>
                <w:rtl w:val="0"/>
              </w:rPr>
              <w:t xml:space="preserve">Levert</w:t>
            </w:r>
            <w:r w:rsidDel="00000000" w:rsidR="00000000" w:rsidRPr="00000000">
              <w:rPr>
                <w:rtl w:val="0"/>
              </w:rPr>
            </w:r>
          </w:p>
        </w:tc>
      </w:tr>
      <w:tr>
        <w:trPr>
          <w:cantSplit w:val="0"/>
          <w:trHeight w:val="535" w:hRule="atLeast"/>
          <w:tblHeader w:val="0"/>
        </w:trPr>
        <w:tc>
          <w:tcPr>
            <w:tcBorders>
              <w:top w:color="ffffff" w:space="0" w:sz="24"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08">
            <w:pPr>
              <w:rPr/>
            </w:pPr>
            <w:r w:rsidDel="00000000" w:rsidR="00000000" w:rsidRPr="00000000">
              <w:rPr>
                <w:rtl w:val="0"/>
              </w:rPr>
              <w:t xml:space="preserve">1</w:t>
            </w:r>
          </w:p>
        </w:tc>
        <w:tc>
          <w:tcPr>
            <w:tcBorders>
              <w:top w:color="ffffff" w:space="0" w:sz="24"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09">
            <w:pPr>
              <w:rPr/>
            </w:pPr>
            <w:r w:rsidDel="00000000" w:rsidR="00000000" w:rsidRPr="00000000">
              <w:rPr>
                <w:rtl w:val="0"/>
              </w:rPr>
              <w:t xml:space="preserve">Afstemmen thema</w:t>
            </w:r>
          </w:p>
        </w:tc>
        <w:tc>
          <w:tcPr>
            <w:tcBorders>
              <w:top w:color="ffffff" w:space="0" w:sz="24"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0A">
            <w:pPr>
              <w:rPr/>
            </w:pPr>
            <w:r w:rsidDel="00000000" w:rsidR="00000000" w:rsidRPr="00000000">
              <w:rPr>
                <w:rtl w:val="0"/>
              </w:rPr>
              <w:t xml:space="preserve">Middelpunt Interactieve Samenkomst met desbetreffende voorganger </w:t>
            </w:r>
          </w:p>
        </w:tc>
        <w:tc>
          <w:tcPr>
            <w:tcBorders>
              <w:top w:color="ffffff" w:space="0" w:sz="24"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0B">
            <w:pPr>
              <w:rPr/>
            </w:pPr>
            <w:r w:rsidDel="00000000" w:rsidR="00000000" w:rsidRPr="00000000">
              <w:rPr>
                <w:rtl w:val="0"/>
              </w:rPr>
              <w:t xml:space="preserve">Minstens 2 weken van te voren, liefst 3 maanden vooruit</w:t>
            </w:r>
          </w:p>
        </w:tc>
        <w:tc>
          <w:tcPr>
            <w:tcBorders>
              <w:top w:color="ffffff" w:space="0" w:sz="24"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0C">
            <w:pPr>
              <w:rPr/>
            </w:pPr>
            <w:r w:rsidDel="00000000" w:rsidR="00000000" w:rsidRPr="00000000">
              <w:rPr>
                <w:rtl w:val="0"/>
              </w:rPr>
              <w:t xml:space="preserve">Gezamenlijk thema voor deze ochtend</w:t>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0D">
            <w:pPr>
              <w:rPr/>
            </w:pPr>
            <w:r w:rsidDel="00000000" w:rsidR="00000000" w:rsidRPr="00000000">
              <w:rPr>
                <w:rtl w:val="0"/>
              </w:rPr>
              <w:t xml:space="preserve">2</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0E">
            <w:pPr>
              <w:rPr/>
            </w:pPr>
            <w:r w:rsidDel="00000000" w:rsidR="00000000" w:rsidRPr="00000000">
              <w:rPr>
                <w:rtl w:val="0"/>
              </w:rPr>
              <w:t xml:space="preserve">Voorbereidingsavond</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0F">
            <w:pPr>
              <w:rPr/>
            </w:pPr>
            <w:r w:rsidDel="00000000" w:rsidR="00000000" w:rsidRPr="00000000">
              <w:rPr>
                <w:rtl w:val="0"/>
              </w:rPr>
              <w:t xml:space="preserve">Kerngroep Interactieve Samenkomst </w:t>
            </w:r>
          </w:p>
          <w:p w:rsidR="00000000" w:rsidDel="00000000" w:rsidP="00000000" w:rsidRDefault="00000000" w:rsidRPr="00000000" w14:paraId="00000010">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1">
            <w:pPr>
              <w:rPr/>
            </w:pPr>
            <w:r w:rsidDel="00000000" w:rsidR="00000000" w:rsidRPr="00000000">
              <w:rPr>
                <w:rtl w:val="0"/>
              </w:rPr>
              <w:t xml:space="preserve">Minstens 2 weken van tevoren</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Een aantal perspectieven op het onderwerp</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Ideeën voor passend filmmateriaal, teksten etc.</w:t>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14">
            <w:pPr>
              <w:rPr/>
            </w:pPr>
            <w:r w:rsidDel="00000000" w:rsidR="00000000" w:rsidRPr="00000000">
              <w:rPr>
                <w:rtl w:val="0"/>
              </w:rPr>
              <w:t xml:space="preserve">3</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15">
            <w:pPr>
              <w:rPr/>
            </w:pPr>
            <w:r w:rsidDel="00000000" w:rsidR="00000000" w:rsidRPr="00000000">
              <w:rPr>
                <w:rtl w:val="0"/>
              </w:rPr>
              <w:t xml:space="preserve">Uitnodiging + Flyer </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16">
            <w:pPr>
              <w:rPr/>
            </w:pPr>
            <w:r w:rsidDel="00000000" w:rsidR="00000000" w:rsidRPr="00000000">
              <w:rPr>
                <w:rtl w:val="0"/>
              </w:rPr>
              <w:t xml:space="preserve">Kerngroep Interactieve Samenkomst</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17">
            <w:pPr>
              <w:rPr/>
            </w:pPr>
            <w:r w:rsidDel="00000000" w:rsidR="00000000" w:rsidRPr="00000000">
              <w:rPr>
                <w:rtl w:val="0"/>
              </w:rPr>
              <w:t xml:space="preserve">Liefst 2 weken van te voren, minimaal de zondag ervoor</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Een uitnodigende tekst</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Passend beeld erbij</w:t>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A">
            <w:pPr>
              <w:rPr/>
            </w:pPr>
            <w:r w:rsidDel="00000000" w:rsidR="00000000" w:rsidRPr="00000000">
              <w:rPr>
                <w:rtl w:val="0"/>
              </w:rPr>
              <w:t xml:space="preserve">4</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B">
            <w:pPr>
              <w:rPr/>
            </w:pPr>
            <w:r w:rsidDel="00000000" w:rsidR="00000000" w:rsidRPr="00000000">
              <w:rPr>
                <w:rtl w:val="0"/>
              </w:rPr>
              <w:t xml:space="preserve">Uitnodiging/flyer verspreiden</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C">
            <w:pPr>
              <w:rPr/>
            </w:pPr>
            <w:r w:rsidDel="00000000" w:rsidR="00000000" w:rsidRPr="00000000">
              <w:rPr>
                <w:rtl w:val="0"/>
              </w:rPr>
              <w:t xml:space="preserve">Kerngroep Interactieve Samenkomst</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D">
            <w:pPr>
              <w:rPr/>
            </w:pPr>
            <w:r w:rsidDel="00000000" w:rsidR="00000000" w:rsidRPr="00000000">
              <w:rPr>
                <w:rtl w:val="0"/>
              </w:rPr>
              <w:t xml:space="preserve">Liefst 2 weken van te voren, minimaal de zondag ervoor</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Gemeenschapsmail via gemeenschapssecretaris</w:t>
            </w:r>
          </w:p>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Bericht/uitnodiging op Facebook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Flyers ophangen in het gebouw, deur van de grote zaal </w:t>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1">
            <w:pPr>
              <w:rPr/>
            </w:pPr>
            <w:r w:rsidDel="00000000" w:rsidR="00000000" w:rsidRPr="00000000">
              <w:rPr>
                <w:rtl w:val="0"/>
              </w:rPr>
              <w:t xml:space="preserve">4</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2">
            <w:pPr>
              <w:rPr/>
            </w:pPr>
            <w:r w:rsidDel="00000000" w:rsidR="00000000" w:rsidRPr="00000000">
              <w:rPr>
                <w:rtl w:val="0"/>
              </w:rPr>
              <w:t xml:space="preserve">Voorbereiden ochtend</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3">
            <w:pPr>
              <w:rPr/>
            </w:pPr>
            <w:r w:rsidDel="00000000" w:rsidR="00000000" w:rsidRPr="00000000">
              <w:rPr>
                <w:rtl w:val="0"/>
              </w:rPr>
              <w:t xml:space="preserve">Middelpunt Interactieve</w:t>
              <w:br w:type="textWrapping"/>
              <w:t xml:space="preserve">Samenkomst</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4">
            <w:pPr>
              <w:rPr/>
            </w:pPr>
            <w:r w:rsidDel="00000000" w:rsidR="00000000" w:rsidRPr="00000000">
              <w:rPr>
                <w:rtl w:val="0"/>
              </w:rPr>
              <w:t xml:space="preserve">De week voorafgaand</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Beeldmateriaal met uitnodigende / uitdagende / prikkelende uitspraken per perspectief</w:t>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Verstillen is belangrijk, dus een mooi muziekstuk of passende ApGen-muziek blijkt zeer effectief </w:t>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27">
            <w:pPr>
              <w:rPr/>
            </w:pPr>
            <w:r w:rsidDel="00000000" w:rsidR="00000000" w:rsidRPr="00000000">
              <w:rPr>
                <w:rtl w:val="0"/>
              </w:rPr>
              <w:t xml:space="preserve">5</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28">
            <w:pPr>
              <w:rPr/>
            </w:pPr>
            <w:r w:rsidDel="00000000" w:rsidR="00000000" w:rsidRPr="00000000">
              <w:rPr>
                <w:rtl w:val="0"/>
              </w:rPr>
              <w:t xml:space="preserve">Apparatuur + zaal klaarmaken</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29">
            <w:pPr>
              <w:rPr/>
            </w:pPr>
            <w:r w:rsidDel="00000000" w:rsidR="00000000" w:rsidRPr="00000000">
              <w:rPr>
                <w:rtl w:val="0"/>
              </w:rPr>
              <w:t xml:space="preserve">Kerngroep Interactieve Samenkomst</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2A">
            <w:pPr>
              <w:rPr/>
            </w:pPr>
            <w:r w:rsidDel="00000000" w:rsidR="00000000" w:rsidRPr="00000000">
              <w:rPr>
                <w:rtl w:val="0"/>
              </w:rPr>
              <w:t xml:space="preserve">Dag vooraf</w:t>
            </w:r>
          </w:p>
        </w:tc>
        <w:tc>
          <w:tcPr>
            <w:tcBorders>
              <w:top w:color="ffffff" w:space="0" w:sz="8" w:val="single"/>
              <w:left w:color="ffffff" w:space="0" w:sz="8" w:val="single"/>
              <w:bottom w:color="ffffff" w:space="0" w:sz="8" w:val="single"/>
              <w:right w:color="ffffff" w:space="0" w:sz="8" w:val="single"/>
            </w:tcBorders>
            <w:shd w:fill="eaeff7" w:val="clear"/>
            <w:tcMar>
              <w:top w:w="72.0" w:type="dxa"/>
              <w:left w:w="144.0" w:type="dxa"/>
              <w:bottom w:w="72.0" w:type="dxa"/>
              <w:right w:w="144.0" w:type="dxa"/>
            </w:tcMar>
          </w:tcPr>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Zaal in kringopstelling. </w:t>
            </w:r>
            <w:r w:rsidDel="00000000" w:rsidR="00000000" w:rsidRPr="00000000">
              <w:rPr>
                <w:b w:val="1"/>
                <w:rtl w:val="0"/>
              </w:rPr>
              <w:t xml:space="preserve">Geen tafels!!</w:t>
            </w:r>
            <w:r w:rsidDel="00000000" w:rsidR="00000000" w:rsidRPr="00000000">
              <w:rPr>
                <w:rtl w:val="0"/>
              </w:rPr>
              <w:t xml:space="preserve"> Een ronde kring of u-vorm.</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Klaarzetten van beamer en geluidsapparatuur</w:t>
            </w:r>
          </w:p>
        </w:tc>
      </w:tr>
      <w:tr>
        <w:trPr>
          <w:cantSplit w:val="0"/>
          <w:trHeight w:val="535" w:hRule="atLeast"/>
          <w:tblHeader w:val="0"/>
        </w:trPr>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D">
            <w:pPr>
              <w:rPr/>
            </w:pPr>
            <w:r w:rsidDel="00000000" w:rsidR="00000000" w:rsidRPr="00000000">
              <w:rPr>
                <w:rtl w:val="0"/>
              </w:rPr>
              <w:t xml:space="preserve">6</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E">
            <w:pPr>
              <w:rPr/>
            </w:pPr>
            <w:r w:rsidDel="00000000" w:rsidR="00000000" w:rsidRPr="00000000">
              <w:rPr>
                <w:rtl w:val="0"/>
              </w:rPr>
              <w:t xml:space="preserve">Ontvangst (koffie/thee vooraf)</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2F">
            <w:pPr>
              <w:rPr/>
            </w:pPr>
            <w:r w:rsidDel="00000000" w:rsidR="00000000" w:rsidRPr="00000000">
              <w:rPr>
                <w:rtl w:val="0"/>
              </w:rPr>
              <w:t xml:space="preserve">Koffiegroep + Kerngroep Interactieve Samenkomst</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30">
            <w:pPr>
              <w:rPr/>
            </w:pPr>
            <w:r w:rsidDel="00000000" w:rsidR="00000000" w:rsidRPr="00000000">
              <w:rPr>
                <w:rtl w:val="0"/>
              </w:rPr>
              <w:t xml:space="preserve">Ochtend</w:t>
            </w:r>
          </w:p>
        </w:tc>
        <w:tc>
          <w:tcPr>
            <w:tcBorders>
              <w:top w:color="ffffff" w:space="0" w:sz="8" w:val="single"/>
              <w:left w:color="ffffff" w:space="0" w:sz="8" w:val="single"/>
              <w:bottom w:color="ffffff" w:space="0" w:sz="8" w:val="single"/>
              <w:right w:color="ffffff" w:space="0" w:sz="8" w:val="single"/>
            </w:tcBorders>
            <w:shd w:fill="d2deef" w:val="clear"/>
            <w:tcMar>
              <w:top w:w="72.0" w:type="dxa"/>
              <w:left w:w="144.0" w:type="dxa"/>
              <w:bottom w:w="72.0" w:type="dxa"/>
              <w:right w:w="144.0" w:type="dxa"/>
            </w:tcMar>
          </w:tcPr>
          <w:p w:rsidR="00000000" w:rsidDel="00000000" w:rsidP="00000000" w:rsidRDefault="00000000" w:rsidRPr="00000000" w14:paraId="00000031">
            <w:pPr>
              <w:numPr>
                <w:ilvl w:val="0"/>
                <w:numId w:val="7"/>
              </w:numPr>
              <w:ind w:left="720" w:hanging="360"/>
              <w:rPr/>
            </w:pPr>
            <w:r w:rsidDel="00000000" w:rsidR="00000000" w:rsidRPr="00000000">
              <w:rPr>
                <w:rtl w:val="0"/>
              </w:rPr>
              <w:t xml:space="preserve">Klaarzetten dienschaal</w:t>
            </w:r>
          </w:p>
          <w:p w:rsidR="00000000" w:rsidDel="00000000" w:rsidP="00000000" w:rsidRDefault="00000000" w:rsidRPr="00000000" w14:paraId="00000032">
            <w:pPr>
              <w:numPr>
                <w:ilvl w:val="0"/>
                <w:numId w:val="7"/>
              </w:numPr>
              <w:ind w:left="720" w:hanging="360"/>
              <w:rPr/>
            </w:pPr>
            <w:r w:rsidDel="00000000" w:rsidR="00000000" w:rsidRPr="00000000">
              <w:rPr>
                <w:rtl w:val="0"/>
              </w:rPr>
              <w:t xml:space="preserve">Koffie bij ingang van de zaal, eventueel wat lekkers</w:t>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Gezellige muziek in de zaal</w:t>
            </w:r>
          </w:p>
          <w:p w:rsidR="00000000" w:rsidDel="00000000" w:rsidP="00000000" w:rsidRDefault="00000000" w:rsidRPr="00000000" w14:paraId="00000034">
            <w:pPr>
              <w:numPr>
                <w:ilvl w:val="0"/>
                <w:numId w:val="7"/>
              </w:numPr>
              <w:ind w:left="720" w:hanging="360"/>
              <w:rPr/>
            </w:pPr>
            <w:r w:rsidDel="00000000" w:rsidR="00000000" w:rsidRPr="00000000">
              <w:rPr>
                <w:rtl w:val="0"/>
              </w:rPr>
              <w:t xml:space="preserve">Beamer met thema</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0" w:line="240" w:lineRule="auto"/>
        <w:rPr>
          <w:rFonts w:ascii="Quattrocento Sans" w:cs="Quattrocento Sans" w:eastAsia="Quattrocento Sans" w:hAnsi="Quattrocento Sans"/>
          <w:sz w:val="18"/>
          <w:szCs w:val="18"/>
        </w:rPr>
      </w:pPr>
      <w:r w:rsidDel="00000000" w:rsidR="00000000" w:rsidRPr="00000000">
        <w:rPr>
          <w:rtl w:val="0"/>
        </w:rPr>
        <w:t xml:space="preserve"> </w:t>
        <w:br w:type="textWrapping"/>
      </w:r>
      <w:r w:rsidDel="00000000" w:rsidR="00000000" w:rsidRPr="00000000">
        <w:rPr>
          <w:rFonts w:ascii="Garamond" w:cs="Garamond" w:eastAsia="Garamond" w:hAnsi="Garamond"/>
          <w:b w:val="1"/>
          <w:color w:val="f39200"/>
          <w:sz w:val="28"/>
          <w:szCs w:val="28"/>
          <w:rtl w:val="0"/>
        </w:rPr>
        <w:t xml:space="preserve">Leerpunten</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Geen rondgang in de grote zaal (indien rondgang gewenst). De sfeer is heel anders en het voelt vreemd. Dus indien rondgang, is het advies om het in de intimiteit van de Interactieve Samenkomst te houden. Zorg dat er dus een geestelijk verzorger aanwezig is voor deze heilshandeling</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Er zijn er altijd een paar die veel willen zeggen (en dat ook doen </w:t>
      </w:r>
      <w:r w:rsidDel="00000000" w:rsidR="00000000" w:rsidRPr="00000000">
        <w:rPr>
          <w:rtl w:val="0"/>
        </w:rPr>
        <w:t xml:space="preserve">☺). Wees daarom duidelijk bij aanvang dat je gaat zorgen voor evenwichtige participatie en grijp dus ook in. Maak eventueel met de desbetreffende afspraken over welk signaal je geeft. Dit heeft ons erg geholpen</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Welles-nietes voorkomen:</w:t>
      </w:r>
    </w:p>
    <w:p w:rsidR="00000000" w:rsidDel="00000000" w:rsidP="00000000" w:rsidRDefault="00000000" w:rsidRPr="00000000" w14:paraId="0000003B">
      <w:pPr>
        <w:numPr>
          <w:ilvl w:val="1"/>
          <w:numId w:val="5"/>
        </w:numPr>
        <w:ind w:left="1440" w:hanging="360"/>
        <w:rPr/>
      </w:pPr>
      <w:r w:rsidDel="00000000" w:rsidR="00000000" w:rsidRPr="00000000">
        <w:rPr>
          <w:rtl w:val="0"/>
        </w:rPr>
        <w:t xml:space="preserve">Spreek duidelijk van tevoren af dat alle zienswijzen ertoe doen. Veiligheid bij elkaar moet het uitgangspunt zijn. Het gaat niet om ‘je gelijk’ maar om perspectief. Leer dus van verschillende inzichten. Pak eruit waar je wat mee kunt. Waar je het niet mee eens bent is voor jezelf ook perspectiefontwikkeling, want je ontdekt waarmee jij het niet eens bent </w:t>
      </w:r>
    </w:p>
    <w:p w:rsidR="00000000" w:rsidDel="00000000" w:rsidP="00000000" w:rsidRDefault="00000000" w:rsidRPr="00000000" w14:paraId="0000003C">
      <w:pPr>
        <w:numPr>
          <w:ilvl w:val="1"/>
          <w:numId w:val="5"/>
        </w:numPr>
        <w:ind w:left="1440" w:hanging="360"/>
        <w:rPr/>
      </w:pPr>
      <w:r w:rsidDel="00000000" w:rsidR="00000000" w:rsidRPr="00000000">
        <w:rPr>
          <w:rtl w:val="0"/>
        </w:rPr>
        <w:t xml:space="preserve">Stop welles-nietes direct, wacht niet. Refereer aan het doel van perspectief en zorg dat de inbreng van ‘degene onder vuur’ tot zijn recht komt. Vat eventueel samen en meestal is het raadzaam een bruggetje te maken naar een volgend perspectief ☺</w:t>
      </w:r>
    </w:p>
    <w:p w:rsidR="00000000" w:rsidDel="00000000" w:rsidP="00000000" w:rsidRDefault="00000000" w:rsidRPr="00000000" w14:paraId="0000003D">
      <w:pPr>
        <w:rPr/>
      </w:pPr>
      <w:r w:rsidDel="00000000" w:rsidR="00000000" w:rsidRPr="00000000">
        <w:rPr>
          <w:rtl w:val="0"/>
        </w:rPr>
      </w:r>
    </w:p>
    <w:sectPr>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DIN Engschrift St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e75b5"/>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561F93"/>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Kop2">
    <w:name w:val="heading 2"/>
    <w:basedOn w:val="Standaard"/>
    <w:next w:val="Standaard"/>
    <w:link w:val="Kop2Char"/>
    <w:uiPriority w:val="9"/>
    <w:semiHidden w:val="1"/>
    <w:unhideWhenUsed w:val="1"/>
    <w:qFormat w:val="1"/>
    <w:rsid w:val="00561F93"/>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Kop3">
    <w:name w:val="heading 3"/>
    <w:basedOn w:val="Standaard"/>
    <w:next w:val="Standaard"/>
    <w:link w:val="Kop3Char"/>
    <w:uiPriority w:val="9"/>
    <w:semiHidden w:val="1"/>
    <w:unhideWhenUsed w:val="1"/>
    <w:qFormat w:val="1"/>
    <w:rsid w:val="00561F93"/>
    <w:pPr>
      <w:keepNext w:val="1"/>
      <w:keepLines w:val="1"/>
      <w:spacing w:after="80" w:before="160"/>
      <w:outlineLvl w:val="2"/>
    </w:pPr>
    <w:rPr>
      <w:rFonts w:cstheme="majorBidi" w:eastAsiaTheme="majorEastAsia"/>
      <w:color w:val="2e74b5" w:themeColor="accent1" w:themeShade="0000BF"/>
      <w:sz w:val="28"/>
      <w:szCs w:val="28"/>
    </w:rPr>
  </w:style>
  <w:style w:type="paragraph" w:styleId="Kop4">
    <w:name w:val="heading 4"/>
    <w:basedOn w:val="Standaard"/>
    <w:next w:val="Standaard"/>
    <w:link w:val="Kop4Char"/>
    <w:uiPriority w:val="9"/>
    <w:semiHidden w:val="1"/>
    <w:unhideWhenUsed w:val="1"/>
    <w:qFormat w:val="1"/>
    <w:rsid w:val="00561F93"/>
    <w:pPr>
      <w:keepNext w:val="1"/>
      <w:keepLines w:val="1"/>
      <w:spacing w:after="40" w:before="80"/>
      <w:outlineLvl w:val="3"/>
    </w:pPr>
    <w:rPr>
      <w:rFonts w:cstheme="majorBidi" w:eastAsiaTheme="majorEastAsia"/>
      <w:i w:val="1"/>
      <w:iCs w:val="1"/>
      <w:color w:val="2e74b5" w:themeColor="accent1" w:themeShade="0000BF"/>
    </w:rPr>
  </w:style>
  <w:style w:type="paragraph" w:styleId="Kop5">
    <w:name w:val="heading 5"/>
    <w:basedOn w:val="Standaard"/>
    <w:next w:val="Standaard"/>
    <w:link w:val="Kop5Char"/>
    <w:uiPriority w:val="9"/>
    <w:semiHidden w:val="1"/>
    <w:unhideWhenUsed w:val="1"/>
    <w:qFormat w:val="1"/>
    <w:rsid w:val="00561F93"/>
    <w:pPr>
      <w:keepNext w:val="1"/>
      <w:keepLines w:val="1"/>
      <w:spacing w:after="40" w:before="80"/>
      <w:outlineLvl w:val="4"/>
    </w:pPr>
    <w:rPr>
      <w:rFonts w:cstheme="majorBidi" w:eastAsiaTheme="majorEastAsia"/>
      <w:color w:val="2e74b5" w:themeColor="accent1" w:themeShade="0000BF"/>
    </w:rPr>
  </w:style>
  <w:style w:type="paragraph" w:styleId="Kop6">
    <w:name w:val="heading 6"/>
    <w:basedOn w:val="Standaard"/>
    <w:next w:val="Standaard"/>
    <w:link w:val="Kop6Char"/>
    <w:uiPriority w:val="9"/>
    <w:semiHidden w:val="1"/>
    <w:unhideWhenUsed w:val="1"/>
    <w:qFormat w:val="1"/>
    <w:rsid w:val="00561F93"/>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561F93"/>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561F93"/>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561F93"/>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561F93"/>
    <w:rPr>
      <w:rFonts w:asciiTheme="majorHAnsi" w:cstheme="majorBidi" w:eastAsiaTheme="majorEastAsia" w:hAnsiTheme="majorHAnsi"/>
      <w:color w:val="2e74b5" w:themeColor="accent1" w:themeShade="0000BF"/>
      <w:sz w:val="40"/>
      <w:szCs w:val="40"/>
    </w:rPr>
  </w:style>
  <w:style w:type="character" w:styleId="Kop2Char" w:customStyle="1">
    <w:name w:val="Kop 2 Char"/>
    <w:basedOn w:val="Standaardalinea-lettertype"/>
    <w:link w:val="Kop2"/>
    <w:uiPriority w:val="9"/>
    <w:semiHidden w:val="1"/>
    <w:rsid w:val="00561F93"/>
    <w:rPr>
      <w:rFonts w:asciiTheme="majorHAnsi" w:cstheme="majorBidi" w:eastAsiaTheme="majorEastAsia" w:hAnsiTheme="majorHAnsi"/>
      <w:color w:val="2e74b5" w:themeColor="accent1" w:themeShade="0000BF"/>
      <w:sz w:val="32"/>
      <w:szCs w:val="32"/>
    </w:rPr>
  </w:style>
  <w:style w:type="character" w:styleId="Kop3Char" w:customStyle="1">
    <w:name w:val="Kop 3 Char"/>
    <w:basedOn w:val="Standaardalinea-lettertype"/>
    <w:link w:val="Kop3"/>
    <w:uiPriority w:val="9"/>
    <w:semiHidden w:val="1"/>
    <w:rsid w:val="00561F93"/>
    <w:rPr>
      <w:rFonts w:cstheme="majorBidi" w:eastAsiaTheme="majorEastAsia"/>
      <w:color w:val="2e74b5" w:themeColor="accent1" w:themeShade="0000BF"/>
      <w:sz w:val="28"/>
      <w:szCs w:val="28"/>
    </w:rPr>
  </w:style>
  <w:style w:type="character" w:styleId="Kop4Char" w:customStyle="1">
    <w:name w:val="Kop 4 Char"/>
    <w:basedOn w:val="Standaardalinea-lettertype"/>
    <w:link w:val="Kop4"/>
    <w:uiPriority w:val="9"/>
    <w:semiHidden w:val="1"/>
    <w:rsid w:val="00561F93"/>
    <w:rPr>
      <w:rFonts w:cstheme="majorBidi" w:eastAsiaTheme="majorEastAsia"/>
      <w:i w:val="1"/>
      <w:iCs w:val="1"/>
      <w:color w:val="2e74b5" w:themeColor="accent1" w:themeShade="0000BF"/>
    </w:rPr>
  </w:style>
  <w:style w:type="character" w:styleId="Kop5Char" w:customStyle="1">
    <w:name w:val="Kop 5 Char"/>
    <w:basedOn w:val="Standaardalinea-lettertype"/>
    <w:link w:val="Kop5"/>
    <w:uiPriority w:val="9"/>
    <w:semiHidden w:val="1"/>
    <w:rsid w:val="00561F93"/>
    <w:rPr>
      <w:rFonts w:cstheme="majorBidi" w:eastAsiaTheme="majorEastAsia"/>
      <w:color w:val="2e74b5" w:themeColor="accent1" w:themeShade="0000BF"/>
    </w:rPr>
  </w:style>
  <w:style w:type="character" w:styleId="Kop6Char" w:customStyle="1">
    <w:name w:val="Kop 6 Char"/>
    <w:basedOn w:val="Standaardalinea-lettertype"/>
    <w:link w:val="Kop6"/>
    <w:uiPriority w:val="9"/>
    <w:semiHidden w:val="1"/>
    <w:rsid w:val="00561F93"/>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561F93"/>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561F93"/>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561F93"/>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561F93"/>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561F93"/>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561F93"/>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561F93"/>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561F93"/>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561F93"/>
    <w:rPr>
      <w:i w:val="1"/>
      <w:iCs w:val="1"/>
      <w:color w:val="404040" w:themeColor="text1" w:themeTint="0000BF"/>
    </w:rPr>
  </w:style>
  <w:style w:type="paragraph" w:styleId="Lijstalinea">
    <w:name w:val="List Paragraph"/>
    <w:basedOn w:val="Standaard"/>
    <w:uiPriority w:val="34"/>
    <w:qFormat w:val="1"/>
    <w:rsid w:val="00561F93"/>
    <w:pPr>
      <w:ind w:left="720"/>
      <w:contextualSpacing w:val="1"/>
    </w:pPr>
  </w:style>
  <w:style w:type="character" w:styleId="Intensievebenadrukking">
    <w:name w:val="Intense Emphasis"/>
    <w:basedOn w:val="Standaardalinea-lettertype"/>
    <w:uiPriority w:val="21"/>
    <w:qFormat w:val="1"/>
    <w:rsid w:val="00561F93"/>
    <w:rPr>
      <w:i w:val="1"/>
      <w:iCs w:val="1"/>
      <w:color w:val="2e74b5" w:themeColor="accent1" w:themeShade="0000BF"/>
    </w:rPr>
  </w:style>
  <w:style w:type="paragraph" w:styleId="Duidelijkcitaat">
    <w:name w:val="Intense Quote"/>
    <w:basedOn w:val="Standaard"/>
    <w:next w:val="Standaard"/>
    <w:link w:val="DuidelijkcitaatChar"/>
    <w:uiPriority w:val="30"/>
    <w:qFormat w:val="1"/>
    <w:rsid w:val="00561F93"/>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DuidelijkcitaatChar" w:customStyle="1">
    <w:name w:val="Duidelijk citaat Char"/>
    <w:basedOn w:val="Standaardalinea-lettertype"/>
    <w:link w:val="Duidelijkcitaat"/>
    <w:uiPriority w:val="30"/>
    <w:rsid w:val="00561F93"/>
    <w:rPr>
      <w:i w:val="1"/>
      <w:iCs w:val="1"/>
      <w:color w:val="2e74b5" w:themeColor="accent1" w:themeShade="0000BF"/>
    </w:rPr>
  </w:style>
  <w:style w:type="character" w:styleId="Intensieveverwijzing">
    <w:name w:val="Intense Reference"/>
    <w:basedOn w:val="Standaardalinea-lettertype"/>
    <w:uiPriority w:val="32"/>
    <w:qFormat w:val="1"/>
    <w:rsid w:val="00561F93"/>
    <w:rPr>
      <w:b w:val="1"/>
      <w:bCs w:val="1"/>
      <w:smallCaps w:val="1"/>
      <w:color w:val="2e74b5" w:themeColor="accent1" w:themeShade="0000BF"/>
      <w:spacing w:val="5"/>
    </w:rPr>
  </w:style>
  <w:style w:type="character" w:styleId="Hyperlink">
    <w:name w:val="Hyperlink"/>
    <w:basedOn w:val="Standaardalinea-lettertype"/>
    <w:uiPriority w:val="99"/>
    <w:unhideWhenUsed w:val="1"/>
    <w:rsid w:val="00561F93"/>
    <w:rPr>
      <w:color w:val="0563c1" w:themeColor="hyperlink"/>
      <w:u w:val="single"/>
    </w:rPr>
  </w:style>
  <w:style w:type="character" w:styleId="Onopgelostemelding">
    <w:name w:val="Unresolved Mention"/>
    <w:basedOn w:val="Standaardalinea-lettertype"/>
    <w:uiPriority w:val="99"/>
    <w:semiHidden w:val="1"/>
    <w:unhideWhenUsed w:val="1"/>
    <w:rsid w:val="00561F93"/>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vg2EXPN69fbYyKjQk31XbxHsQ==">CgMxLjA4AHIhMV9GeVhjWFFNbWlWQmxYekNBVWxfODE1Vm96Ml9oMVhE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2024-06-14T14:59:00Z</dcterms:created>
  <dc:creator>K. (Kirsten) Donders-Lindeboom</dc:creator>
</cp:coreProperties>
</file>